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916" w:type="dxa"/>
        <w:tblInd w:w="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746"/>
        <w:gridCol w:w="1971"/>
        <w:gridCol w:w="1862"/>
        <w:gridCol w:w="1590"/>
      </w:tblGrid>
      <w:tr w:rsidR="006D2E7C" w:rsidTr="006D2E7C">
        <w:tc>
          <w:tcPr>
            <w:tcW w:w="732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6D2E7C" w:rsidRDefault="006D2E7C" w:rsidP="00036289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28"/>
                <w:szCs w:val="28"/>
                <w:rtl/>
              </w:rPr>
              <w:t>מערכת לאומית להעברת נתונים לצורך מבחני הכנסות</w:t>
            </w:r>
          </w:p>
        </w:tc>
        <w:tc>
          <w:tcPr>
            <w:tcW w:w="1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</w:tcPr>
          <w:p w:rsidR="006D2E7C" w:rsidRPr="006D2E7C" w:rsidRDefault="006D2E7C" w:rsidP="00036289">
            <w:pPr>
              <w:spacing w:after="20"/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45290E" w:rsidTr="003E798E">
        <w:tc>
          <w:tcPr>
            <w:tcW w:w="891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45290E" w:rsidRDefault="0045290E" w:rsidP="00036289">
            <w:pPr>
              <w:spacing w:after="30"/>
              <w:jc w:val="center"/>
              <w:rPr>
                <w:color w:val="D6E4F0"/>
                <w:sz w:val="17"/>
                <w:szCs w:val="17"/>
                <w:rtl/>
              </w:rPr>
            </w:pPr>
            <w:r>
              <w:rPr>
                <w:color w:val="D6E4F0"/>
                <w:sz w:val="17"/>
                <w:szCs w:val="17"/>
                <w:rtl/>
              </w:rPr>
              <w:t>בקשה לשיתוף פעולה ותמיכה</w:t>
            </w:r>
            <w:r>
              <w:rPr>
                <w:rFonts w:hint="cs"/>
                <w:color w:val="D6E4F0"/>
                <w:sz w:val="17"/>
                <w:szCs w:val="17"/>
                <w:rtl/>
              </w:rPr>
              <w:t>-</w:t>
            </w:r>
            <w:r>
              <w:rPr>
                <w:color w:val="D6E4F0"/>
                <w:sz w:val="17"/>
                <w:szCs w:val="17"/>
                <w:rtl/>
              </w:rPr>
              <w:t xml:space="preserve"> מערך הדיגיטל הלאומי   |  </w:t>
            </w:r>
            <w:r>
              <w:rPr>
                <w:rFonts w:hint="cs"/>
                <w:color w:val="D6E4F0"/>
                <w:sz w:val="17"/>
                <w:szCs w:val="17"/>
                <w:rtl/>
              </w:rPr>
              <w:t>אוריאל כזום, סמנכ"ל גמלאות,</w:t>
            </w:r>
            <w:r>
              <w:rPr>
                <w:color w:val="D6E4F0"/>
                <w:sz w:val="17"/>
                <w:szCs w:val="17"/>
                <w:rtl/>
              </w:rPr>
              <w:t xml:space="preserve"> הביטוח הלאומי,</w:t>
            </w:r>
            <w:r>
              <w:rPr>
                <w:rFonts w:hint="cs"/>
                <w:color w:val="D6E4F0"/>
                <w:sz w:val="17"/>
                <w:szCs w:val="17"/>
                <w:rtl/>
              </w:rPr>
              <w:t xml:space="preserve"> מרץ</w:t>
            </w:r>
            <w:r>
              <w:rPr>
                <w:color w:val="D6E4F0"/>
                <w:sz w:val="17"/>
                <w:szCs w:val="17"/>
                <w:rtl/>
              </w:rPr>
              <w:t xml:space="preserve"> 2026</w:t>
            </w:r>
          </w:p>
        </w:tc>
      </w:tr>
      <w:tr w:rsidR="006D2E7C" w:rsidTr="006D2E7C">
        <w:tc>
          <w:tcPr>
            <w:tcW w:w="1747" w:type="dxa"/>
            <w:tcBorders>
              <w:top w:val="single" w:sz="16" w:space="0" w:color="2E6DA4"/>
              <w:left w:val="single" w:sz="4" w:space="0" w:color="B8C8D8"/>
              <w:bottom w:val="single" w:sz="4" w:space="0" w:color="B8C8D8"/>
              <w:right w:val="single" w:sz="4" w:space="0" w:color="B8C8D8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6D2E7C" w:rsidRDefault="006D2E7C" w:rsidP="006D2E7C">
            <w:pPr>
              <w:spacing w:after="20"/>
              <w:jc w:val="center"/>
            </w:pPr>
            <w:r>
              <w:rPr>
                <w:rFonts w:hint="cs"/>
                <w:b/>
                <w:bCs/>
                <w:color w:val="1B3A6B"/>
                <w:sz w:val="28"/>
                <w:szCs w:val="28"/>
                <w:rtl/>
              </w:rPr>
              <w:t>מעל 70</w:t>
            </w:r>
          </w:p>
          <w:p w:rsidR="006D2E7C" w:rsidRDefault="006D2E7C" w:rsidP="006D2E7C">
            <w:pPr>
              <w:jc w:val="center"/>
            </w:pPr>
            <w:r>
              <w:rPr>
                <w:rFonts w:hint="cs"/>
                <w:color w:val="555555"/>
                <w:sz w:val="15"/>
                <w:szCs w:val="15"/>
                <w:rtl/>
              </w:rPr>
              <w:t xml:space="preserve">זכויות </w:t>
            </w:r>
            <w:proofErr w:type="spellStart"/>
            <w:r>
              <w:rPr>
                <w:rFonts w:hint="cs"/>
                <w:color w:val="555555"/>
                <w:sz w:val="15"/>
                <w:szCs w:val="15"/>
                <w:rtl/>
              </w:rPr>
              <w:t>ושרותים</w:t>
            </w:r>
            <w:proofErr w:type="spellEnd"/>
            <w:r>
              <w:rPr>
                <w:rFonts w:hint="cs"/>
                <w:color w:val="555555"/>
                <w:sz w:val="15"/>
                <w:szCs w:val="15"/>
                <w:rtl/>
              </w:rPr>
              <w:t xml:space="preserve"> עם </w:t>
            </w:r>
            <w:r>
              <w:rPr>
                <w:rFonts w:hint="cs"/>
                <w:rtl/>
              </w:rPr>
              <w:t>מבחני הכנסה</w:t>
            </w:r>
          </w:p>
        </w:tc>
        <w:tc>
          <w:tcPr>
            <w:tcW w:w="1746" w:type="dxa"/>
            <w:tcBorders>
              <w:top w:val="single" w:sz="16" w:space="0" w:color="2E6DA4"/>
              <w:left w:val="single" w:sz="4" w:space="0" w:color="B8C8D8"/>
              <w:bottom w:val="single" w:sz="4" w:space="0" w:color="B8C8D8"/>
              <w:right w:val="single" w:sz="4" w:space="0" w:color="B8C8D8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6D2E7C" w:rsidRDefault="006D2E7C" w:rsidP="006D2E7C">
            <w:pPr>
              <w:spacing w:after="20"/>
              <w:jc w:val="center"/>
            </w:pPr>
            <w:r>
              <w:rPr>
                <w:rFonts w:hint="cs"/>
                <w:b/>
                <w:bCs/>
                <w:color w:val="1B3A6B"/>
                <w:sz w:val="28"/>
                <w:szCs w:val="28"/>
                <w:rtl/>
              </w:rPr>
              <w:t xml:space="preserve"> 15</w:t>
            </w:r>
          </w:p>
          <w:p w:rsidR="006D2E7C" w:rsidRDefault="006D2E7C" w:rsidP="006D2E7C">
            <w:pPr>
              <w:jc w:val="center"/>
            </w:pPr>
            <w:r>
              <w:rPr>
                <w:rFonts w:hint="cs"/>
                <w:color w:val="555555"/>
                <w:sz w:val="15"/>
                <w:szCs w:val="15"/>
                <w:rtl/>
              </w:rPr>
              <w:t>משרדים עיקריים</w:t>
            </w:r>
          </w:p>
        </w:tc>
        <w:tc>
          <w:tcPr>
            <w:tcW w:w="1971" w:type="dxa"/>
            <w:tcBorders>
              <w:top w:val="single" w:sz="16" w:space="0" w:color="2E6DA4"/>
              <w:left w:val="single" w:sz="4" w:space="0" w:color="B8C8D8"/>
              <w:bottom w:val="single" w:sz="4" w:space="0" w:color="B8C8D8"/>
              <w:right w:val="single" w:sz="4" w:space="0" w:color="B8C8D8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6D2E7C" w:rsidRDefault="006D2E7C" w:rsidP="006D2E7C">
            <w:pPr>
              <w:spacing w:after="20"/>
              <w:jc w:val="center"/>
            </w:pPr>
            <w:r>
              <w:rPr>
                <w:rFonts w:hint="cs"/>
                <w:b/>
                <w:bCs/>
                <w:color w:val="1B3A6B"/>
                <w:sz w:val="28"/>
                <w:szCs w:val="28"/>
                <w:rtl/>
              </w:rPr>
              <w:t xml:space="preserve">מעל 350 </w:t>
            </w:r>
          </w:p>
          <w:p w:rsidR="006D2E7C" w:rsidRDefault="006D2E7C" w:rsidP="006D2E7C">
            <w:pPr>
              <w:jc w:val="center"/>
            </w:pPr>
            <w:r>
              <w:rPr>
                <w:rFonts w:hint="cs"/>
                <w:color w:val="555555"/>
                <w:sz w:val="15"/>
                <w:szCs w:val="15"/>
                <w:rtl/>
              </w:rPr>
              <w:t>דרישות מסמכים שונות</w:t>
            </w:r>
          </w:p>
        </w:tc>
        <w:tc>
          <w:tcPr>
            <w:tcW w:w="1862" w:type="dxa"/>
            <w:tcBorders>
              <w:top w:val="single" w:sz="16" w:space="0" w:color="2E6DA4"/>
              <w:left w:val="single" w:sz="4" w:space="0" w:color="B8C8D8"/>
              <w:bottom w:val="single" w:sz="4" w:space="0" w:color="B8C8D8"/>
              <w:right w:val="single" w:sz="4" w:space="0" w:color="B8C8D8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6D2E7C" w:rsidRDefault="006D2E7C" w:rsidP="006D2E7C">
            <w:pPr>
              <w:spacing w:after="20"/>
              <w:jc w:val="center"/>
            </w:pPr>
            <w:r>
              <w:rPr>
                <w:b/>
                <w:bCs/>
                <w:color w:val="1B3A6B"/>
                <w:sz w:val="28"/>
                <w:szCs w:val="28"/>
                <w:rtl/>
              </w:rPr>
              <w:t>125K+</w:t>
            </w:r>
          </w:p>
          <w:p w:rsidR="006D2E7C" w:rsidRDefault="006D2E7C" w:rsidP="006D2E7C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 xml:space="preserve">השמות </w:t>
            </w:r>
            <w:r>
              <w:rPr>
                <w:rFonts w:hint="cs"/>
                <w:color w:val="555555"/>
                <w:sz w:val="15"/>
                <w:szCs w:val="15"/>
                <w:rtl/>
              </w:rPr>
              <w:t>רווחה בשנה</w:t>
            </w:r>
            <w:r>
              <w:rPr>
                <w:color w:val="555555"/>
                <w:sz w:val="15"/>
                <w:szCs w:val="15"/>
                <w:rtl/>
              </w:rPr>
              <w:t xml:space="preserve"> בשירותים החברתיים המרכזיים</w:t>
            </w:r>
          </w:p>
        </w:tc>
        <w:tc>
          <w:tcPr>
            <w:tcW w:w="1590" w:type="dxa"/>
            <w:tcBorders>
              <w:top w:val="single" w:sz="16" w:space="0" w:color="2E6DA4"/>
              <w:left w:val="single" w:sz="4" w:space="0" w:color="B8C8D8"/>
              <w:bottom w:val="single" w:sz="4" w:space="0" w:color="B8C8D8"/>
              <w:right w:val="single" w:sz="4" w:space="0" w:color="B8C8D8"/>
            </w:tcBorders>
            <w:shd w:val="clear" w:color="auto" w:fill="FFFFFF"/>
          </w:tcPr>
          <w:p w:rsidR="006D2E7C" w:rsidRDefault="006D2E7C" w:rsidP="006D2E7C">
            <w:pPr>
              <w:spacing w:after="20"/>
              <w:jc w:val="center"/>
            </w:pPr>
            <w:r>
              <w:rPr>
                <w:rFonts w:hint="cs"/>
                <w:b/>
                <w:bCs/>
                <w:color w:val="1B3A6B"/>
                <w:sz w:val="28"/>
                <w:szCs w:val="28"/>
                <w:rtl/>
              </w:rPr>
              <w:t xml:space="preserve">מעל </w:t>
            </w:r>
            <w:r>
              <w:rPr>
                <w:b/>
                <w:bCs/>
                <w:color w:val="1B3A6B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1B3A6B"/>
                <w:sz w:val="28"/>
                <w:szCs w:val="28"/>
                <w:rtl/>
              </w:rPr>
              <w:t>0</w:t>
            </w:r>
            <w:r>
              <w:rPr>
                <w:b/>
                <w:bCs/>
                <w:color w:val="1B3A6B"/>
                <w:sz w:val="28"/>
                <w:szCs w:val="28"/>
                <w:rtl/>
              </w:rPr>
              <w:t>B₪</w:t>
            </w:r>
          </w:p>
          <w:p w:rsidR="006D2E7C" w:rsidRDefault="006D2E7C" w:rsidP="006D2E7C">
            <w:pPr>
              <w:spacing w:after="20"/>
              <w:jc w:val="center"/>
              <w:rPr>
                <w:b/>
                <w:bCs/>
                <w:color w:val="1B3A6B"/>
                <w:sz w:val="28"/>
                <w:szCs w:val="28"/>
                <w:rtl/>
              </w:rPr>
            </w:pPr>
            <w:r w:rsidRPr="00E6721F">
              <w:rPr>
                <w:color w:val="555555"/>
                <w:sz w:val="15"/>
                <w:szCs w:val="15"/>
                <w:rtl/>
              </w:rPr>
              <w:t>היקף שירותים שנתי הדורש מבחני הכנסות</w:t>
            </w:r>
          </w:p>
        </w:tc>
      </w:tr>
      <w:tr w:rsidR="0045290E" w:rsidTr="0045290E">
        <w:tc>
          <w:tcPr>
            <w:tcW w:w="732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45290E" w:rsidRDefault="0045290E" w:rsidP="0045290E">
            <w:pPr>
              <w:jc w:val="center"/>
              <w:rPr>
                <w:rFonts w:hint="cs"/>
                <w:b/>
                <w:bCs/>
                <w:color w:val="1B3A6B"/>
                <w:sz w:val="19"/>
                <w:szCs w:val="19"/>
                <w:rtl/>
              </w:rPr>
            </w:pPr>
          </w:p>
        </w:tc>
        <w:tc>
          <w:tcPr>
            <w:tcW w:w="1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</w:tcPr>
          <w:p w:rsidR="0045290E" w:rsidRDefault="0045290E" w:rsidP="00036289">
            <w:pPr>
              <w:jc w:val="center"/>
              <w:rPr>
                <w:b/>
                <w:bCs/>
                <w:color w:val="1B3A6B"/>
                <w:sz w:val="19"/>
                <w:szCs w:val="19"/>
                <w:rtl/>
              </w:rPr>
            </w:pPr>
          </w:p>
        </w:tc>
      </w:tr>
      <w:tr w:rsidR="006D2E7C" w:rsidTr="006D2E7C">
        <w:tc>
          <w:tcPr>
            <w:tcW w:w="732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A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6D2E7C" w:rsidRDefault="006D2E7C" w:rsidP="0045290E">
            <w:pPr>
              <w:jc w:val="center"/>
            </w:pPr>
            <w:r>
              <w:rPr>
                <w:rFonts w:hint="cs"/>
                <w:b/>
                <w:bCs/>
                <w:color w:val="1B3A6B"/>
                <w:sz w:val="19"/>
                <w:szCs w:val="19"/>
                <w:rtl/>
              </w:rPr>
              <w:t xml:space="preserve"> </w:t>
            </w:r>
            <w:r w:rsidR="0045290E">
              <w:rPr>
                <w:rFonts w:hint="cs"/>
                <w:b/>
                <w:bCs/>
                <w:color w:val="1B3A6B"/>
                <w:sz w:val="19"/>
                <w:szCs w:val="19"/>
                <w:rtl/>
              </w:rPr>
              <w:t xml:space="preserve">                               </w:t>
            </w:r>
            <w:r>
              <w:rPr>
                <w:b/>
                <w:bCs/>
                <w:color w:val="1B3A6B"/>
                <w:sz w:val="19"/>
                <w:szCs w:val="19"/>
                <w:rtl/>
              </w:rPr>
              <w:t>הבעיה המערכתית</w:t>
            </w:r>
          </w:p>
        </w:tc>
        <w:tc>
          <w:tcPr>
            <w:tcW w:w="1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A"/>
          </w:tcPr>
          <w:p w:rsidR="006D2E7C" w:rsidRDefault="006D2E7C" w:rsidP="00036289">
            <w:pPr>
              <w:jc w:val="center"/>
              <w:rPr>
                <w:b/>
                <w:bCs/>
                <w:color w:val="1B3A6B"/>
                <w:sz w:val="19"/>
                <w:szCs w:val="19"/>
                <w:rtl/>
              </w:rPr>
            </w:pPr>
          </w:p>
        </w:tc>
      </w:tr>
    </w:tbl>
    <w:p w:rsidR="00036289" w:rsidRDefault="00E5674B" w:rsidP="006D2E7C">
      <w:pPr>
        <w:spacing w:after="30"/>
        <w:ind w:left="720"/>
        <w:rPr>
          <w:rtl/>
        </w:rPr>
      </w:pPr>
      <w:r>
        <w:rPr>
          <w:rtl/>
        </w:rPr>
        <w:t xml:space="preserve">משרדי ממשלה רבים מבצעים מבחני הכנסות באופן ידני ולא אחיד — כל משרד עם נוהל משלו, כל אזרח מביא מסמכים </w:t>
      </w:r>
      <w:r w:rsidR="006D2E7C">
        <w:rPr>
          <w:rFonts w:hint="cs"/>
          <w:rtl/>
        </w:rPr>
        <w:t>לעיבוד ידני</w:t>
      </w:r>
    </w:p>
    <w:p w:rsidR="00827DA3" w:rsidRDefault="00E5674B" w:rsidP="006D2E7C">
      <w:pPr>
        <w:spacing w:after="30"/>
        <w:ind w:left="720"/>
      </w:pPr>
      <w:r w:rsidRPr="00036289">
        <w:rPr>
          <w:b/>
          <w:bCs/>
          <w:rtl/>
        </w:rPr>
        <w:t>התוצאה:</w:t>
      </w:r>
      <w:r>
        <w:rPr>
          <w:rtl/>
        </w:rPr>
        <w:t xml:space="preserve"> פגיעה קשה באוכלוסיות מוחלשות, אי-שוויון בין רשויות ובזבוז משאבי אנוש יקרים שיכולים ללכת לטיפול אנושי.</w:t>
      </w:r>
    </w:p>
    <w:p w:rsidR="00827DA3" w:rsidRDefault="006D2E7C" w:rsidP="006D2E7C">
      <w:pPr>
        <w:pStyle w:val="a4"/>
        <w:numPr>
          <w:ilvl w:val="0"/>
          <w:numId w:val="2"/>
        </w:numPr>
        <w:spacing w:after="30"/>
        <w:ind w:left="720"/>
      </w:pPr>
      <w:r>
        <w:rPr>
          <w:rtl/>
        </w:rPr>
        <w:t xml:space="preserve">עומס ביורוקרטי </w:t>
      </w:r>
      <w:r>
        <w:rPr>
          <w:rFonts w:hint="cs"/>
          <w:rtl/>
        </w:rPr>
        <w:t>- טיפול ידני של האזרח ושל נותני השירותים במאות דרישות ושירותים</w:t>
      </w:r>
    </w:p>
    <w:p w:rsidR="00827DA3" w:rsidRDefault="000A4AE3" w:rsidP="006D2E7C">
      <w:pPr>
        <w:pStyle w:val="a4"/>
        <w:numPr>
          <w:ilvl w:val="0"/>
          <w:numId w:val="2"/>
        </w:numPr>
        <w:spacing w:after="30"/>
        <w:ind w:left="720"/>
      </w:pPr>
      <w:r>
        <w:rPr>
          <w:rtl/>
        </w:rPr>
        <w:t xml:space="preserve">פגיעה במיצוי זכויות — </w:t>
      </w:r>
      <w:r w:rsidR="00E5674B">
        <w:rPr>
          <w:rtl/>
        </w:rPr>
        <w:t>הפניות נסגרות</w:t>
      </w:r>
      <w:r w:rsidR="006D2E7C">
        <w:rPr>
          <w:rFonts w:hint="cs"/>
          <w:rtl/>
        </w:rPr>
        <w:t>/לא מטופלות</w:t>
      </w:r>
      <w:r w:rsidR="00E5674B">
        <w:rPr>
          <w:rtl/>
        </w:rPr>
        <w:t xml:space="preserve"> בשל אי המצאת מסמכים; אזרחים "נופלים בין הכיסאות"</w:t>
      </w:r>
    </w:p>
    <w:p w:rsidR="00827DA3" w:rsidRDefault="00E5674B" w:rsidP="006D2E7C">
      <w:pPr>
        <w:pStyle w:val="a4"/>
        <w:numPr>
          <w:ilvl w:val="0"/>
          <w:numId w:val="2"/>
        </w:numPr>
        <w:spacing w:after="30"/>
        <w:ind w:left="720"/>
      </w:pPr>
      <w:r>
        <w:rPr>
          <w:rtl/>
        </w:rPr>
        <w:t xml:space="preserve">אי-שוויון — תוצאות שונות לאזרחים דומים בהתאם לרשות המבצעת </w:t>
      </w:r>
      <w:r w:rsidR="006D2E7C">
        <w:rPr>
          <w:rFonts w:hint="cs"/>
          <w:rtl/>
        </w:rPr>
        <w:t>ולפקידים</w:t>
      </w:r>
    </w:p>
    <w:p w:rsidR="00827DA3" w:rsidRDefault="00E5674B" w:rsidP="006D2E7C">
      <w:pPr>
        <w:pStyle w:val="a4"/>
        <w:numPr>
          <w:ilvl w:val="0"/>
          <w:numId w:val="2"/>
        </w:numPr>
        <w:spacing w:after="30"/>
        <w:ind w:left="720"/>
      </w:pPr>
      <w:r>
        <w:rPr>
          <w:rtl/>
        </w:rPr>
        <w:t>אמינות נמוכה — לקוח מציג רק את הנתונים שהוא בוחר; אין העברת מידע</w:t>
      </w:r>
      <w:r>
        <w:rPr>
          <w:rFonts w:hint="cs"/>
          <w:rtl/>
        </w:rPr>
        <w:t xml:space="preserve"> מהימנה</w:t>
      </w:r>
      <w:r>
        <w:rPr>
          <w:rtl/>
        </w:rPr>
        <w:t xml:space="preserve"> </w:t>
      </w:r>
    </w:p>
    <w:p w:rsidR="0045290E" w:rsidRDefault="0045290E" w:rsidP="0045290E">
      <w:pPr>
        <w:pStyle w:val="a4"/>
        <w:bidi/>
        <w:spacing w:after="30"/>
        <w:ind w:left="720" w:right="360"/>
      </w:pPr>
    </w:p>
    <w:tbl>
      <w:tblPr>
        <w:bidiVisual/>
        <w:tblW w:w="9200" w:type="dxa"/>
        <w:tblInd w:w="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827DA3" w:rsidTr="006D2E7C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A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  <w:rtl/>
              </w:rPr>
              <w:t>הפתרון המוצע</w:t>
            </w:r>
          </w:p>
        </w:tc>
      </w:tr>
    </w:tbl>
    <w:p w:rsidR="00036289" w:rsidRDefault="00E5674B" w:rsidP="006D2E7C">
      <w:pPr>
        <w:spacing w:after="24"/>
        <w:ind w:left="720"/>
        <w:rPr>
          <w:rtl/>
        </w:rPr>
      </w:pPr>
      <w:r>
        <w:rPr>
          <w:rtl/>
        </w:rPr>
        <w:t>מערכת לאומית להעברת נתונים מהביטוח הלאומי לגופים ממשלתיים</w:t>
      </w:r>
      <w:r w:rsidR="006D2E7C">
        <w:rPr>
          <w:rFonts w:hint="cs"/>
          <w:rtl/>
        </w:rPr>
        <w:t xml:space="preserve"> </w:t>
      </w:r>
      <w:r>
        <w:rPr>
          <w:rtl/>
        </w:rPr>
        <w:t>— באישור המבוטח.</w:t>
      </w:r>
    </w:p>
    <w:p w:rsidR="00827DA3" w:rsidRDefault="00E5674B" w:rsidP="006D2E7C">
      <w:pPr>
        <w:spacing w:after="24"/>
        <w:ind w:left="720"/>
      </w:pPr>
      <w:r>
        <w:rPr>
          <w:rtl/>
        </w:rPr>
        <w:t xml:space="preserve"> מודל </w:t>
      </w:r>
      <w:dir w:val="ltr">
        <w:r>
          <w:rPr>
            <w:b/>
            <w:bCs/>
            <w:rtl/>
          </w:rPr>
          <w:t>ASK ONCE</w:t>
        </w:r>
        <w:r>
          <w:rPr>
            <w:b/>
            <w:bCs/>
            <w:rtl/>
          </w:rPr>
          <w:t>‬‏</w:t>
        </w:r>
        <w:r>
          <w:rPr>
            <w:rtl/>
          </w:rPr>
          <w:t xml:space="preserve"> — האזרח מוסר מידע פעם אחת, המדינה לא שואלת שוב.</w:t>
        </w:r>
        <w:r>
          <w:t>‬</w:t>
        </w:r>
        <w:r w:rsidR="00C56ECF">
          <w:t>‬</w:t>
        </w:r>
      </w:dir>
    </w:p>
    <w:tbl>
      <w:tblPr>
        <w:bidiVisual/>
        <w:tblW w:w="9200" w:type="dxa"/>
        <w:tblInd w:w="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579"/>
        <w:gridCol w:w="1866"/>
        <w:gridCol w:w="579"/>
        <w:gridCol w:w="1866"/>
        <w:gridCol w:w="579"/>
        <w:gridCol w:w="1866"/>
      </w:tblGrid>
      <w:tr w:rsidR="00036289" w:rsidRPr="00036289" w:rsidTr="006D2E7C">
        <w:tc>
          <w:tcPr>
            <w:tcW w:w="18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Pr="00036289" w:rsidRDefault="00E5674B" w:rsidP="00036289">
            <w:pPr>
              <w:spacing w:after="4"/>
              <w:jc w:val="center"/>
              <w:rPr>
                <w:color w:val="FFFFFF" w:themeColor="background1"/>
              </w:rPr>
            </w:pPr>
            <w:r w:rsidRPr="00036289">
              <w:rPr>
                <w:b/>
                <w:bCs/>
                <w:color w:val="FFFFFF" w:themeColor="background1"/>
                <w:sz w:val="14"/>
                <w:szCs w:val="14"/>
                <w:rtl/>
              </w:rPr>
              <w:t>1</w:t>
            </w:r>
          </w:p>
          <w:p w:rsidR="00827DA3" w:rsidRPr="00036289" w:rsidRDefault="00E5674B" w:rsidP="00036289">
            <w:pPr>
              <w:jc w:val="center"/>
              <w:rPr>
                <w:color w:val="FFFFFF" w:themeColor="background1"/>
              </w:rPr>
            </w:pPr>
            <w:r w:rsidRPr="00036289">
              <w:rPr>
                <w:color w:val="FFFFFF" w:themeColor="background1"/>
                <w:sz w:val="15"/>
                <w:szCs w:val="15"/>
                <w:rtl/>
              </w:rPr>
              <w:t>האזרח בוחר שירות</w:t>
            </w:r>
          </w:p>
        </w:tc>
        <w:tc>
          <w:tcPr>
            <w:tcW w:w="57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Pr="00036289" w:rsidRDefault="00E5674B" w:rsidP="00036289">
            <w:pPr>
              <w:jc w:val="center"/>
              <w:rPr>
                <w:color w:val="FFFFFF" w:themeColor="background1"/>
              </w:rPr>
            </w:pPr>
            <w:r w:rsidRPr="0003628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◄</w:t>
            </w:r>
          </w:p>
        </w:tc>
        <w:tc>
          <w:tcPr>
            <w:tcW w:w="1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Pr="00036289" w:rsidRDefault="00E5674B" w:rsidP="00036289">
            <w:pPr>
              <w:spacing w:after="4"/>
              <w:jc w:val="center"/>
              <w:rPr>
                <w:color w:val="FFFFFF" w:themeColor="background1"/>
              </w:rPr>
            </w:pPr>
            <w:r w:rsidRPr="00036289">
              <w:rPr>
                <w:b/>
                <w:bCs/>
                <w:color w:val="FFFFFF" w:themeColor="background1"/>
                <w:sz w:val="14"/>
                <w:szCs w:val="14"/>
                <w:rtl/>
              </w:rPr>
              <w:t>2</w:t>
            </w:r>
          </w:p>
          <w:p w:rsidR="00827DA3" w:rsidRPr="00036289" w:rsidRDefault="00E5674B" w:rsidP="00036289">
            <w:pPr>
              <w:jc w:val="center"/>
              <w:rPr>
                <w:color w:val="FFFFFF" w:themeColor="background1"/>
              </w:rPr>
            </w:pPr>
            <w:r w:rsidRPr="00036289">
              <w:rPr>
                <w:color w:val="FFFFFF" w:themeColor="background1"/>
                <w:sz w:val="15"/>
                <w:szCs w:val="15"/>
                <w:rtl/>
              </w:rPr>
              <w:t>ביטוח לאומי מאכלס נתונים</w:t>
            </w:r>
          </w:p>
        </w:tc>
        <w:tc>
          <w:tcPr>
            <w:tcW w:w="57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Pr="00036289" w:rsidRDefault="00E5674B" w:rsidP="00036289">
            <w:pPr>
              <w:jc w:val="center"/>
              <w:rPr>
                <w:color w:val="FFFFFF" w:themeColor="background1"/>
              </w:rPr>
            </w:pPr>
            <w:r w:rsidRPr="0003628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◄</w:t>
            </w:r>
          </w:p>
        </w:tc>
        <w:tc>
          <w:tcPr>
            <w:tcW w:w="1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Pr="00036289" w:rsidRDefault="00E5674B" w:rsidP="00036289">
            <w:pPr>
              <w:spacing w:after="4"/>
              <w:jc w:val="center"/>
              <w:rPr>
                <w:color w:val="FFFFFF" w:themeColor="background1"/>
              </w:rPr>
            </w:pPr>
            <w:r w:rsidRPr="00036289">
              <w:rPr>
                <w:b/>
                <w:bCs/>
                <w:color w:val="FFFFFF" w:themeColor="background1"/>
                <w:sz w:val="14"/>
                <w:szCs w:val="14"/>
                <w:rtl/>
              </w:rPr>
              <w:t>3</w:t>
            </w:r>
          </w:p>
          <w:p w:rsidR="00827DA3" w:rsidRPr="00036289" w:rsidRDefault="00E5674B" w:rsidP="006D2E7C">
            <w:pPr>
              <w:jc w:val="center"/>
              <w:rPr>
                <w:color w:val="FFFFFF" w:themeColor="background1"/>
              </w:rPr>
            </w:pPr>
            <w:r w:rsidRPr="00036289">
              <w:rPr>
                <w:color w:val="FFFFFF" w:themeColor="background1"/>
                <w:sz w:val="15"/>
                <w:szCs w:val="15"/>
                <w:rtl/>
              </w:rPr>
              <w:t>האזרח מאשר</w:t>
            </w:r>
            <w:r w:rsidR="006D2E7C" w:rsidRPr="00A51F4A">
              <w:rPr>
                <w:rFonts w:hint="cs"/>
                <w:color w:val="FFFFFF" w:themeColor="background1"/>
                <w:sz w:val="15"/>
                <w:szCs w:val="15"/>
                <w:rtl/>
              </w:rPr>
              <w:t xml:space="preserve"> </w:t>
            </w:r>
            <w:r w:rsidR="00A51F4A" w:rsidRPr="00A51F4A">
              <w:rPr>
                <w:rFonts w:hint="cs"/>
                <w:color w:val="FFFFFF" w:themeColor="background1"/>
                <w:sz w:val="15"/>
                <w:szCs w:val="15"/>
                <w:rtl/>
              </w:rPr>
              <w:t xml:space="preserve">את המידע ומאשר </w:t>
            </w:r>
            <w:r w:rsidR="006D2E7C" w:rsidRPr="00A51F4A">
              <w:rPr>
                <w:rFonts w:hint="cs"/>
                <w:color w:val="FFFFFF" w:themeColor="background1"/>
                <w:sz w:val="15"/>
                <w:szCs w:val="15"/>
                <w:rtl/>
              </w:rPr>
              <w:t>לביטוח לאומי להעבי</w:t>
            </w:r>
            <w:r w:rsidR="00A51F4A" w:rsidRPr="00A51F4A">
              <w:rPr>
                <w:rFonts w:hint="cs"/>
                <w:color w:val="FFFFFF" w:themeColor="background1"/>
                <w:sz w:val="15"/>
                <w:szCs w:val="15"/>
                <w:rtl/>
              </w:rPr>
              <w:t>ר את המידע</w:t>
            </w:r>
            <w:r w:rsidR="006D2E7C">
              <w:rPr>
                <w:rFonts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57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Pr="00036289" w:rsidRDefault="00E5674B" w:rsidP="00036289">
            <w:pPr>
              <w:jc w:val="center"/>
              <w:rPr>
                <w:color w:val="FFFFFF" w:themeColor="background1"/>
              </w:rPr>
            </w:pPr>
            <w:r w:rsidRPr="0003628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◄</w:t>
            </w:r>
          </w:p>
        </w:tc>
        <w:tc>
          <w:tcPr>
            <w:tcW w:w="1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Pr="00036289" w:rsidRDefault="00E5674B" w:rsidP="00036289">
            <w:pPr>
              <w:spacing w:after="4"/>
              <w:jc w:val="center"/>
              <w:rPr>
                <w:color w:val="FFFFFF" w:themeColor="background1"/>
              </w:rPr>
            </w:pPr>
            <w:r w:rsidRPr="00036289">
              <w:rPr>
                <w:b/>
                <w:bCs/>
                <w:color w:val="FFFFFF" w:themeColor="background1"/>
                <w:sz w:val="14"/>
                <w:szCs w:val="14"/>
                <w:rtl/>
              </w:rPr>
              <w:t>4</w:t>
            </w:r>
          </w:p>
          <w:p w:rsidR="00827DA3" w:rsidRPr="00036289" w:rsidRDefault="00E5674B" w:rsidP="00036289">
            <w:pPr>
              <w:jc w:val="center"/>
              <w:rPr>
                <w:color w:val="FFFFFF" w:themeColor="background1"/>
              </w:rPr>
            </w:pPr>
            <w:r w:rsidRPr="00036289">
              <w:rPr>
                <w:color w:val="FFFFFF" w:themeColor="background1"/>
                <w:sz w:val="15"/>
                <w:szCs w:val="15"/>
                <w:rtl/>
              </w:rPr>
              <w:t>הנתונים עוברים למשרד</w:t>
            </w:r>
            <w:r w:rsidR="006D2E7C" w:rsidRPr="00A51F4A">
              <w:rPr>
                <w:rFonts w:hint="cs"/>
                <w:color w:val="FFFFFF" w:themeColor="background1"/>
                <w:sz w:val="15"/>
                <w:szCs w:val="15"/>
                <w:rtl/>
              </w:rPr>
              <w:t xml:space="preserve"> ע"י ביטוח לאומי</w:t>
            </w:r>
          </w:p>
        </w:tc>
      </w:tr>
    </w:tbl>
    <w:p w:rsidR="00827DA3" w:rsidRDefault="00827DA3" w:rsidP="006D2E7C">
      <w:pPr>
        <w:spacing w:before="20"/>
        <w:ind w:left="720"/>
      </w:pPr>
    </w:p>
    <w:p w:rsidR="00036289" w:rsidRDefault="00E5674B" w:rsidP="006D2E7C">
      <w:pPr>
        <w:ind w:left="720"/>
        <w:rPr>
          <w:rtl/>
        </w:rPr>
      </w:pPr>
      <w:r>
        <w:rPr>
          <w:b/>
          <w:bCs/>
          <w:rtl/>
        </w:rPr>
        <w:t xml:space="preserve">תשתית: </w:t>
      </w:r>
      <w:dir w:val="ltr">
        <w:proofErr w:type="spellStart"/>
        <w:r>
          <w:rPr>
            <w:rtl/>
          </w:rPr>
          <w:t>Data</w:t>
        </w:r>
        <w:proofErr w:type="spellEnd"/>
        <w:r>
          <w:rPr>
            <w:rtl/>
          </w:rPr>
          <w:t xml:space="preserve"> </w:t>
        </w:r>
        <w:proofErr w:type="spellStart"/>
        <w:r>
          <w:rPr>
            <w:rtl/>
          </w:rPr>
          <w:t>Lake</w:t>
        </w:r>
        <w:proofErr w:type="spellEnd"/>
        <w:r>
          <w:rPr>
            <w:rtl/>
          </w:rPr>
          <w:t xml:space="preserve">‬‏ מרכזי בביטוח לאומי, ממשק דו-כיווני, עדכניות חודשית, העברה מקוונת עם הסכמת מבוטח. </w:t>
        </w:r>
        <w:r>
          <w:t>‬</w:t>
        </w:r>
        <w:r w:rsidR="00C56ECF">
          <w:t>‬</w:t>
        </w:r>
      </w:dir>
    </w:p>
    <w:p w:rsidR="00827DA3" w:rsidRDefault="00E5674B" w:rsidP="006D2E7C">
      <w:pPr>
        <w:ind w:left="720"/>
        <w:rPr>
          <w:rtl/>
        </w:rPr>
      </w:pPr>
      <w:r>
        <w:rPr>
          <w:rtl/>
        </w:rPr>
        <w:t>עוגן חוקי: החלטת ממשלה 3573 וחוק ההסדרים 2026.</w:t>
      </w:r>
    </w:p>
    <w:p w:rsidR="0045290E" w:rsidRDefault="0045290E" w:rsidP="006D2E7C">
      <w:pPr>
        <w:ind w:left="720"/>
      </w:pPr>
    </w:p>
    <w:tbl>
      <w:tblPr>
        <w:bidiVisual/>
        <w:tblW w:w="9205" w:type="dxa"/>
        <w:tblInd w:w="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002"/>
        <w:gridCol w:w="1298"/>
        <w:gridCol w:w="3305"/>
      </w:tblGrid>
      <w:tr w:rsidR="00827DA3" w:rsidTr="0045290E">
        <w:tc>
          <w:tcPr>
            <w:tcW w:w="920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A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827DA3" w:rsidRPr="00036289" w:rsidRDefault="00E5674B" w:rsidP="00036289">
            <w:pPr>
              <w:jc w:val="center"/>
              <w:rPr>
                <w:b/>
                <w:bCs/>
              </w:rPr>
            </w:pPr>
            <w:r w:rsidRPr="00036289">
              <w:rPr>
                <w:b/>
                <w:bCs/>
                <w:color w:val="1B3A6B"/>
                <w:sz w:val="23"/>
                <w:szCs w:val="23"/>
                <w:rtl/>
              </w:rPr>
              <w:t>השוואת מצב קיים מול מצב מבוקש</w:t>
            </w:r>
          </w:p>
        </w:tc>
      </w:tr>
      <w:tr w:rsidR="00827DA3" w:rsidTr="0045290E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  <w:rtl/>
              </w:rPr>
              <w:t>ממד</w:t>
            </w:r>
          </w:p>
        </w:tc>
        <w:tc>
          <w:tcPr>
            <w:tcW w:w="33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  <w:rtl/>
              </w:rPr>
              <w:t>המצב הקיים</w:t>
            </w:r>
          </w:p>
        </w:tc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  <w:rtl/>
              </w:rPr>
              <w:t>המצב המבוקש</w:t>
            </w:r>
          </w:p>
        </w:tc>
      </w:tr>
      <w:tr w:rsidR="00827DA3" w:rsidTr="0045290E">
        <w:tc>
          <w:tcPr>
            <w:tcW w:w="26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תהליך</w:t>
            </w:r>
          </w:p>
        </w:tc>
        <w:tc>
          <w:tcPr>
            <w:tcW w:w="3300" w:type="dxa"/>
            <w:gridSpan w:val="2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ידני, מסמכים פיזיים ופגישות</w:t>
            </w:r>
          </w:p>
        </w:tc>
        <w:tc>
          <w:tcPr>
            <w:tcW w:w="33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A51F4A">
            <w:pPr>
              <w:jc w:val="center"/>
            </w:pPr>
            <w:r>
              <w:rPr>
                <w:sz w:val="17"/>
                <w:szCs w:val="17"/>
                <w:rtl/>
              </w:rPr>
              <w:t xml:space="preserve">דיגיטלי ואוטומטי דרך </w:t>
            </w:r>
            <w:r w:rsidR="00A51F4A">
              <w:rPr>
                <w:rFonts w:hint="cs"/>
                <w:sz w:val="17"/>
                <w:szCs w:val="17"/>
                <w:rtl/>
              </w:rPr>
              <w:t>ביטוח לאומי</w:t>
            </w:r>
          </w:p>
        </w:tc>
      </w:tr>
      <w:tr w:rsidR="00827DA3" w:rsidTr="0045290E">
        <w:tc>
          <w:tcPr>
            <w:tcW w:w="26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זמן לאזרח</w:t>
            </w:r>
          </w:p>
        </w:tc>
        <w:tc>
          <w:tcPr>
            <w:tcW w:w="3300" w:type="dxa"/>
            <w:gridSpan w:val="2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שבועות עד חודשים</w:t>
            </w:r>
          </w:p>
        </w:tc>
        <w:tc>
          <w:tcPr>
            <w:tcW w:w="33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דקות — אישור חד-פעמי</w:t>
            </w:r>
          </w:p>
        </w:tc>
      </w:tr>
      <w:tr w:rsidR="00827DA3" w:rsidTr="0045290E">
        <w:tc>
          <w:tcPr>
            <w:tcW w:w="26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שוויון</w:t>
            </w:r>
          </w:p>
        </w:tc>
        <w:tc>
          <w:tcPr>
            <w:tcW w:w="3300" w:type="dxa"/>
            <w:gridSpan w:val="2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A51F4A">
            <w:pPr>
              <w:jc w:val="center"/>
            </w:pPr>
            <w:r>
              <w:rPr>
                <w:sz w:val="17"/>
                <w:szCs w:val="17"/>
                <w:rtl/>
              </w:rPr>
              <w:t>תלוי ברשות ו</w:t>
            </w:r>
            <w:r w:rsidR="00A51F4A">
              <w:rPr>
                <w:rFonts w:hint="cs"/>
                <w:sz w:val="17"/>
                <w:szCs w:val="17"/>
                <w:rtl/>
              </w:rPr>
              <w:t>בפקידים המטפלים</w:t>
            </w:r>
          </w:p>
        </w:tc>
        <w:tc>
          <w:tcPr>
            <w:tcW w:w="33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מחושב אחיד ומדויק</w:t>
            </w:r>
          </w:p>
        </w:tc>
      </w:tr>
      <w:tr w:rsidR="00827DA3" w:rsidTr="0045290E">
        <w:tc>
          <w:tcPr>
            <w:tcW w:w="26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מיצוי זכויות</w:t>
            </w:r>
          </w:p>
        </w:tc>
        <w:tc>
          <w:tcPr>
            <w:tcW w:w="3300" w:type="dxa"/>
            <w:gridSpan w:val="2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A51F4A" w:rsidP="00A51F4A">
            <w:pPr>
              <w:jc w:val="center"/>
            </w:pPr>
            <w:r>
              <w:rPr>
                <w:rFonts w:hint="cs"/>
                <w:sz w:val="17"/>
                <w:szCs w:val="17"/>
                <w:rtl/>
              </w:rPr>
              <w:t xml:space="preserve">לא מלא </w:t>
            </w:r>
            <w:r>
              <w:rPr>
                <w:sz w:val="17"/>
                <w:szCs w:val="17"/>
                <w:rtl/>
              </w:rPr>
              <w:t>–</w:t>
            </w:r>
            <w:r>
              <w:rPr>
                <w:rFonts w:hint="cs"/>
                <w:sz w:val="17"/>
                <w:szCs w:val="17"/>
                <w:rtl/>
              </w:rPr>
              <w:t xml:space="preserve"> פניות לא מטופלות</w:t>
            </w:r>
          </w:p>
        </w:tc>
        <w:tc>
          <w:tcPr>
            <w:tcW w:w="33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מלא — ללא נשירה על רקע ביורוקרטי</w:t>
            </w:r>
          </w:p>
        </w:tc>
      </w:tr>
      <w:tr w:rsidR="00827DA3" w:rsidTr="0045290E">
        <w:tc>
          <w:tcPr>
            <w:tcW w:w="26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משאבי לשכה</w:t>
            </w:r>
          </w:p>
        </w:tc>
        <w:tc>
          <w:tcPr>
            <w:tcW w:w="3300" w:type="dxa"/>
            <w:gridSpan w:val="2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A51F4A" w:rsidP="00A51F4A">
            <w:pPr>
              <w:jc w:val="center"/>
            </w:pPr>
            <w:r>
              <w:rPr>
                <w:rFonts w:hint="cs"/>
                <w:sz w:val="17"/>
                <w:szCs w:val="17"/>
                <w:rtl/>
              </w:rPr>
              <w:t>עבודה ידנית הדורשת זמן רב</w:t>
            </w:r>
          </w:p>
        </w:tc>
        <w:tc>
          <w:tcPr>
            <w:tcW w:w="33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פינוי משאבים לטיפול הליבה</w:t>
            </w:r>
          </w:p>
        </w:tc>
      </w:tr>
      <w:tr w:rsidR="00827DA3" w:rsidTr="0045290E">
        <w:tc>
          <w:tcPr>
            <w:tcW w:w="26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אמינות נתונים</w:t>
            </w:r>
          </w:p>
        </w:tc>
        <w:tc>
          <w:tcPr>
            <w:tcW w:w="3300" w:type="dxa"/>
            <w:gridSpan w:val="2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לקוח בוחר מה להגיש</w:t>
            </w:r>
          </w:p>
        </w:tc>
        <w:tc>
          <w:tcPr>
            <w:tcW w:w="3300" w:type="dxa"/>
            <w:tcBorders>
              <w:top w:val="single" w:sz="3" w:space="0" w:color="B8C8D8"/>
              <w:left w:val="single" w:sz="3" w:space="0" w:color="B8C8D8"/>
              <w:bottom w:val="single" w:sz="3" w:space="0" w:color="B8C8D8"/>
              <w:right w:val="single" w:sz="3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jc w:val="center"/>
            </w:pPr>
            <w:r>
              <w:rPr>
                <w:sz w:val="17"/>
                <w:szCs w:val="17"/>
                <w:rtl/>
              </w:rPr>
              <w:t>מידע מאומת ממקור ראשון</w:t>
            </w:r>
          </w:p>
        </w:tc>
      </w:tr>
      <w:tr w:rsidR="0045290E" w:rsidTr="0045290E">
        <w:tc>
          <w:tcPr>
            <w:tcW w:w="9205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45290E" w:rsidRDefault="0045290E" w:rsidP="00036289">
            <w:pPr>
              <w:jc w:val="center"/>
              <w:rPr>
                <w:b/>
                <w:bCs/>
                <w:color w:val="1B3A6B"/>
                <w:sz w:val="19"/>
                <w:szCs w:val="19"/>
                <w:rtl/>
              </w:rPr>
            </w:pPr>
          </w:p>
        </w:tc>
      </w:tr>
      <w:tr w:rsidR="00827DA3" w:rsidTr="0045290E">
        <w:tc>
          <w:tcPr>
            <w:tcW w:w="9205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A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  <w:rtl/>
              </w:rPr>
              <w:t>סטטוס ולוחות זמנים</w:t>
            </w:r>
          </w:p>
        </w:tc>
      </w:tr>
      <w:tr w:rsidR="00827DA3" w:rsidTr="0045290E">
        <w:tc>
          <w:tcPr>
            <w:tcW w:w="4602" w:type="dxa"/>
            <w:gridSpan w:val="2"/>
            <w:tcBorders>
              <w:top w:val="single" w:sz="4" w:space="0" w:color="B8C8D8"/>
              <w:left w:val="single" w:sz="4" w:space="0" w:color="B8C8D8"/>
              <w:bottom w:val="single" w:sz="4" w:space="0" w:color="B8C8D8"/>
              <w:right w:val="single" w:sz="4" w:space="0" w:color="B8C8D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spacing w:after="14"/>
            </w:pPr>
            <w:r>
              <w:rPr>
                <w:b/>
                <w:bCs/>
                <w:color w:val="1B3A6B"/>
                <w:rtl/>
              </w:rPr>
              <w:t xml:space="preserve">סטטוס </w:t>
            </w:r>
            <w:r w:rsidR="00FF163C">
              <w:rPr>
                <w:rFonts w:hint="cs"/>
                <w:b/>
                <w:bCs/>
                <w:color w:val="1B3A6B"/>
                <w:rtl/>
              </w:rPr>
              <w:t>מרץ</w:t>
            </w:r>
            <w:r>
              <w:rPr>
                <w:b/>
                <w:bCs/>
                <w:color w:val="1B3A6B"/>
                <w:rtl/>
              </w:rPr>
              <w:t xml:space="preserve"> 2026</w:t>
            </w:r>
          </w:p>
          <w:p w:rsidR="00E5674B" w:rsidRPr="000A4AE3" w:rsidRDefault="0045290E" w:rsidP="000A4AE3">
            <w:pPr>
              <w:pStyle w:val="a4"/>
              <w:bidi/>
              <w:spacing w:after="30"/>
              <w:ind w:right="360"/>
              <w:rPr>
                <w:rtl/>
              </w:rPr>
            </w:pPr>
            <w:r>
              <w:rPr>
                <w:sz w:val="17"/>
                <w:szCs w:val="17"/>
                <w:rtl/>
              </w:rPr>
              <w:t xml:space="preserve">פיילוט מוסכם עם משרד הרווחה </w:t>
            </w:r>
          </w:p>
          <w:p w:rsidR="00827DA3" w:rsidRDefault="00E5674B" w:rsidP="00E5674B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rFonts w:hint="cs"/>
                <w:sz w:val="17"/>
                <w:szCs w:val="17"/>
                <w:rtl/>
              </w:rPr>
              <w:t xml:space="preserve">בתהליך מול </w:t>
            </w:r>
            <w:r>
              <w:rPr>
                <w:sz w:val="17"/>
                <w:szCs w:val="17"/>
                <w:rtl/>
              </w:rPr>
              <w:t>משרד הקליטה</w:t>
            </w:r>
          </w:p>
          <w:p w:rsidR="00827DA3" w:rsidRDefault="0045290E" w:rsidP="0045290E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rFonts w:hint="cs"/>
                <w:sz w:val="17"/>
                <w:szCs w:val="17"/>
                <w:rtl/>
              </w:rPr>
              <w:t xml:space="preserve">בימים אלו מגובשים </w:t>
            </w:r>
            <w:r w:rsidR="00E5674B">
              <w:rPr>
                <w:sz w:val="17"/>
                <w:szCs w:val="17"/>
                <w:rtl/>
              </w:rPr>
              <w:t>עקרונות משפטיים עם משרד המשפטים</w:t>
            </w:r>
          </w:p>
          <w:p w:rsidR="00827DA3" w:rsidRDefault="00E5674B" w:rsidP="0045290E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 xml:space="preserve">מיפוי מסמכים מלא לכלל שירותי הרווחה </w:t>
            </w:r>
            <w:r w:rsidR="0045290E">
              <w:rPr>
                <w:rFonts w:hint="cs"/>
                <w:sz w:val="17"/>
                <w:szCs w:val="17"/>
                <w:rtl/>
              </w:rPr>
              <w:t>כמעט והושלם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 xml:space="preserve">ישיבות </w:t>
            </w:r>
            <w:r w:rsidR="00E6721F">
              <w:rPr>
                <w:rFonts w:hint="cs"/>
                <w:sz w:val="17"/>
                <w:szCs w:val="17"/>
                <w:rtl/>
              </w:rPr>
              <w:t>עבודה</w:t>
            </w:r>
            <w:r>
              <w:rPr>
                <w:sz w:val="17"/>
                <w:szCs w:val="17"/>
                <w:rtl/>
              </w:rPr>
              <w:t xml:space="preserve"> עם מערך הדיגיטל ומשרד האוצר</w:t>
            </w:r>
          </w:p>
          <w:p w:rsidR="00827DA3" w:rsidRDefault="00827DA3" w:rsidP="00036289">
            <w:pPr>
              <w:spacing w:before="10"/>
            </w:pPr>
          </w:p>
          <w:p w:rsidR="00827DA3" w:rsidRDefault="00E5674B" w:rsidP="00036289">
            <w:pPr>
              <w:spacing w:after="14"/>
            </w:pPr>
            <w:r>
              <w:rPr>
                <w:b/>
                <w:bCs/>
                <w:color w:val="1B3A6B"/>
                <w:rtl/>
              </w:rPr>
              <w:t>משאבים נדרשים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~23 משרות: ניהול, הנדסת נתונים, ארכיטקטורה, אבטחת מידע, משפט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~32 מיליון דולר — עלות טכנולוגית (20% גידול במשאבי מחשוב)</w:t>
            </w:r>
          </w:p>
        </w:tc>
        <w:tc>
          <w:tcPr>
            <w:tcW w:w="4603" w:type="dxa"/>
            <w:gridSpan w:val="2"/>
            <w:tcBorders>
              <w:top w:val="single" w:sz="4" w:space="0" w:color="B8C8D8"/>
              <w:left w:val="single" w:sz="4" w:space="0" w:color="B8C8D8"/>
              <w:bottom w:val="single" w:sz="4" w:space="0" w:color="B8C8D8"/>
              <w:right w:val="single" w:sz="4" w:space="0" w:color="B8C8D8"/>
            </w:tcBorders>
            <w:shd w:val="clear" w:color="auto" w:fill="EAF2F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27DA3" w:rsidRDefault="00E5674B" w:rsidP="00036289">
            <w:pPr>
              <w:spacing w:after="14"/>
            </w:pPr>
            <w:r>
              <w:rPr>
                <w:b/>
                <w:bCs/>
                <w:color w:val="1B3A6B"/>
                <w:rtl/>
              </w:rPr>
              <w:t>לוח זמנים מתוכנן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2026 — אפיון ופיילוט (רווחה + קליטה)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2027 — הקמת תשתית ייצור, חיבור משרדים נוספים בקצב מואץ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2028-2029 — הרחבה לכלל משרדי הממשלה ושכבת תחקור BI</w:t>
            </w:r>
          </w:p>
          <w:p w:rsidR="00827DA3" w:rsidRDefault="00827DA3" w:rsidP="00036289">
            <w:pPr>
              <w:spacing w:before="10"/>
            </w:pPr>
          </w:p>
          <w:p w:rsidR="00827DA3" w:rsidRDefault="00E5674B" w:rsidP="00036289">
            <w:pPr>
              <w:spacing w:after="14"/>
            </w:pPr>
            <w:r>
              <w:rPr>
                <w:b/>
                <w:bCs/>
                <w:color w:val="1B3A6B"/>
                <w:rtl/>
              </w:rPr>
              <w:t>שותפים מרכזיים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ביטוח לאומי — בעל הנתון ומקים התשתית</w:t>
            </w:r>
          </w:p>
          <w:p w:rsidR="00827DA3" w:rsidRDefault="00E5674B" w:rsidP="0045290E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מערך הדיגיטל הלאומי — תשתיות, סטנדרטים</w:t>
            </w:r>
          </w:p>
          <w:p w:rsidR="00827DA3" w:rsidRDefault="00E5674B" w:rsidP="00036289">
            <w:pPr>
              <w:pStyle w:val="a4"/>
              <w:numPr>
                <w:ilvl w:val="0"/>
                <w:numId w:val="2"/>
              </w:numPr>
              <w:spacing w:after="30"/>
            </w:pPr>
            <w:r>
              <w:rPr>
                <w:sz w:val="17"/>
                <w:szCs w:val="17"/>
                <w:rtl/>
              </w:rPr>
              <w:t>משרד האוצר, משרד הרווחה, משרד המשפטים</w:t>
            </w:r>
          </w:p>
        </w:tc>
      </w:tr>
      <w:tr w:rsidR="0045290E" w:rsidTr="0045290E">
        <w:tc>
          <w:tcPr>
            <w:tcW w:w="9205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 w:themeFill="background1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45290E" w:rsidRDefault="0045290E" w:rsidP="00036289">
            <w:pPr>
              <w:jc w:val="center"/>
              <w:rPr>
                <w:b/>
                <w:bCs/>
                <w:color w:val="1B3A6B"/>
                <w:sz w:val="19"/>
                <w:szCs w:val="19"/>
                <w:rtl/>
              </w:rPr>
            </w:pPr>
          </w:p>
          <w:p w:rsidR="0045290E" w:rsidRDefault="0045290E" w:rsidP="00036289">
            <w:pPr>
              <w:jc w:val="center"/>
              <w:rPr>
                <w:b/>
                <w:bCs/>
                <w:color w:val="1B3A6B"/>
                <w:sz w:val="19"/>
                <w:szCs w:val="19"/>
                <w:rtl/>
              </w:rPr>
            </w:pPr>
          </w:p>
        </w:tc>
      </w:tr>
      <w:tr w:rsidR="00827DA3" w:rsidTr="0045290E">
        <w:tc>
          <w:tcPr>
            <w:tcW w:w="9205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A"/>
            <w:tcMar>
              <w:top w:w="120" w:type="dxa"/>
              <w:left w:w="220" w:type="dxa"/>
              <w:bottom w:w="100" w:type="dxa"/>
              <w:right w:w="22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  <w:rtl/>
              </w:rPr>
              <w:t xml:space="preserve">מה נדרש ממערך </w:t>
            </w:r>
            <w:proofErr w:type="spellStart"/>
            <w:r>
              <w:rPr>
                <w:b/>
                <w:bCs/>
                <w:color w:val="1B3A6B"/>
                <w:sz w:val="19"/>
                <w:szCs w:val="19"/>
                <w:rtl/>
              </w:rPr>
              <w:t>הדיגיטל</w:t>
            </w:r>
            <w:proofErr w:type="spellEnd"/>
            <w:r>
              <w:rPr>
                <w:b/>
                <w:bCs/>
                <w:color w:val="1B3A6B"/>
                <w:sz w:val="19"/>
                <w:szCs w:val="19"/>
                <w:rtl/>
              </w:rPr>
              <w:t xml:space="preserve"> הלאומי</w:t>
            </w:r>
          </w:p>
        </w:tc>
      </w:tr>
    </w:tbl>
    <w:p w:rsidR="00827DA3" w:rsidRDefault="00E5674B" w:rsidP="0045290E">
      <w:pPr>
        <w:spacing w:after="28"/>
        <w:ind w:left="720"/>
      </w:pPr>
      <w:r>
        <w:rPr>
          <w:b/>
          <w:bCs/>
          <w:rtl/>
        </w:rPr>
        <w:t>1. ליווי אסטרטגי</w:t>
      </w:r>
      <w:r>
        <w:rPr>
          <w:rtl/>
        </w:rPr>
        <w:t xml:space="preserve"> — שילוב הפרויקט במפת הדרכים הלאומית כפיילוט </w:t>
      </w:r>
      <w:dir w:val="ltr">
        <w:r w:rsidR="0045290E">
          <w:rPr>
            <w:rtl/>
          </w:rPr>
          <w:t>ASK ONCE</w:t>
        </w:r>
        <w:r>
          <w:rPr>
            <w:rtl/>
          </w:rPr>
          <w:t>‬‏ — מנוף לאימוץ עקרון זה בכלל המשרדים</w:t>
        </w:r>
        <w:r>
          <w:t>‬</w:t>
        </w:r>
        <w:r w:rsidR="00C56ECF">
          <w:t>‬</w:t>
        </w:r>
      </w:dir>
    </w:p>
    <w:p w:rsidR="00827DA3" w:rsidRDefault="00E5674B" w:rsidP="006D2E7C">
      <w:pPr>
        <w:spacing w:after="28"/>
        <w:ind w:left="720"/>
      </w:pPr>
      <w:r>
        <w:rPr>
          <w:b/>
          <w:bCs/>
          <w:rtl/>
        </w:rPr>
        <w:t>2. תשתיות נימבוס</w:t>
      </w:r>
      <w:r>
        <w:rPr>
          <w:rtl/>
        </w:rPr>
        <w:t xml:space="preserve"> — ענן ממשלתי, </w:t>
      </w:r>
      <w:dir w:val="ltr">
        <w:proofErr w:type="spellStart"/>
        <w:r>
          <w:rPr>
            <w:rtl/>
          </w:rPr>
          <w:t>Data</w:t>
        </w:r>
        <w:proofErr w:type="spellEnd"/>
        <w:r>
          <w:rPr>
            <w:rtl/>
          </w:rPr>
          <w:t xml:space="preserve"> </w:t>
        </w:r>
        <w:proofErr w:type="spellStart"/>
        <w:r>
          <w:rPr>
            <w:rtl/>
          </w:rPr>
          <w:t>Lake</w:t>
        </w:r>
        <w:proofErr w:type="spellEnd"/>
        <w:r>
          <w:rPr>
            <w:rtl/>
          </w:rPr>
          <w:t>‬‏, אבטחת מידע, סטנדרטים להעברת נתונים בין-משרדית</w:t>
        </w:r>
        <w:r>
          <w:t>‬</w:t>
        </w:r>
        <w:r w:rsidR="00C56ECF">
          <w:t>‬</w:t>
        </w:r>
      </w:dir>
    </w:p>
    <w:p w:rsidR="00827DA3" w:rsidRDefault="00E5674B" w:rsidP="006D2E7C">
      <w:pPr>
        <w:spacing w:after="28"/>
        <w:ind w:left="720"/>
      </w:pPr>
      <w:r>
        <w:rPr>
          <w:b/>
          <w:bCs/>
          <w:rtl/>
        </w:rPr>
        <w:t>3. חיבור בין-משרדי</w:t>
      </w:r>
      <w:r>
        <w:rPr>
          <w:rtl/>
        </w:rPr>
        <w:t xml:space="preserve"> — תיאום מול משרד הרווחה ומשרד הקליטה בפיילוט, ולאחר מכן הרחבה שיטתית</w:t>
      </w:r>
    </w:p>
    <w:p w:rsidR="00827DA3" w:rsidRDefault="00E5674B" w:rsidP="006D2E7C">
      <w:pPr>
        <w:spacing w:after="28"/>
        <w:ind w:left="720"/>
      </w:pPr>
      <w:r>
        <w:rPr>
          <w:b/>
          <w:bCs/>
          <w:rtl/>
        </w:rPr>
        <w:t>4. סטנדרטיזציה</w:t>
      </w:r>
      <w:r>
        <w:rPr>
          <w:rtl/>
        </w:rPr>
        <w:t xml:space="preserve"> — ממשקי </w:t>
      </w:r>
      <w:dir w:val="ltr">
        <w:r>
          <w:rPr>
            <w:rtl/>
          </w:rPr>
          <w:t>API</w:t>
        </w:r>
        <w:r>
          <w:rPr>
            <w:rtl/>
          </w:rPr>
          <w:t xml:space="preserve">‬‏, מודל נתונים אחיד, </w:t>
        </w:r>
        <w:dir w:val="ltr">
          <w:r>
            <w:rPr>
              <w:rtl/>
            </w:rPr>
            <w:t>UX/UI</w:t>
          </w:r>
          <w:r>
            <w:rPr>
              <w:rtl/>
            </w:rPr>
            <w:t>‬‏ ממשלתי לתהליך ההסכמה</w:t>
          </w:r>
          <w:r>
            <w:t>‬</w:t>
          </w:r>
          <w:r>
            <w:t>‬</w:t>
          </w:r>
          <w:r w:rsidR="00C56ECF">
            <w:t>‬</w:t>
          </w:r>
          <w:r w:rsidR="00C56ECF">
            <w:t>‬</w:t>
          </w:r>
        </w:dir>
      </w:dir>
    </w:p>
    <w:p w:rsidR="00827DA3" w:rsidRDefault="00E5674B" w:rsidP="006D2E7C">
      <w:pPr>
        <w:spacing w:after="28"/>
        <w:ind w:left="720"/>
        <w:rPr>
          <w:rtl/>
        </w:rPr>
      </w:pPr>
      <w:r>
        <w:rPr>
          <w:b/>
          <w:bCs/>
          <w:rtl/>
        </w:rPr>
        <w:t>5. הסדרה משפטית</w:t>
      </w:r>
      <w:r>
        <w:rPr>
          <w:rtl/>
        </w:rPr>
        <w:t xml:space="preserve"> — ליווי מול משרד המשפטים — הגנת פרטיות, הסכמת מבוטח, הסכם בין-משרדי כתוב</w:t>
      </w:r>
    </w:p>
    <w:p w:rsidR="0045290E" w:rsidRDefault="0045290E" w:rsidP="0045290E">
      <w:pPr>
        <w:spacing w:after="28"/>
      </w:pPr>
    </w:p>
    <w:tbl>
      <w:tblPr>
        <w:bidiVisual/>
        <w:tblW w:w="9200" w:type="dxa"/>
        <w:tblInd w:w="67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827DA3" w:rsidTr="006D2E7C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8" w:space="0" w:color="1B3A6B"/>
            </w:tcBorders>
            <w:shd w:val="clear" w:color="auto" w:fill="D6E4F0"/>
            <w:tcMar>
              <w:top w:w="110" w:type="dxa"/>
              <w:left w:w="220" w:type="dxa"/>
              <w:bottom w:w="110" w:type="dxa"/>
              <w:right w:w="220" w:type="dxa"/>
            </w:tcMar>
          </w:tcPr>
          <w:p w:rsidR="00827DA3" w:rsidRDefault="00E5674B" w:rsidP="00036289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  <w:rtl/>
              </w:rPr>
              <w:t xml:space="preserve">קריאה לפעולה: </w:t>
            </w:r>
            <w:r>
              <w:rPr>
                <w:sz w:val="19"/>
                <w:szCs w:val="19"/>
                <w:rtl/>
              </w:rPr>
              <w:t>פגישת עבודה להגדרת מסלול שיתוף הפעולה — הפיילוט מוכן, החוק תומך, הביטוח הלאומי מוביל. נדרשת תשתית נימבוס ושותפות מערך הדיגיטל כדי להפוך מאות אלפי אישורים פיזיים בשנה לתהליך דיגיטלי אחיד.</w:t>
            </w:r>
          </w:p>
        </w:tc>
      </w:tr>
    </w:tbl>
    <w:p w:rsidR="000A4AE3" w:rsidRDefault="000A4AE3" w:rsidP="006D2E7C">
      <w:pPr>
        <w:ind w:left="720"/>
        <w:rPr>
          <w:sz w:val="44"/>
          <w:szCs w:val="44"/>
          <w:rtl/>
        </w:rPr>
      </w:pPr>
    </w:p>
    <w:p w:rsidR="000A4AE3" w:rsidRPr="000A4AE3" w:rsidRDefault="000A4AE3" w:rsidP="0045290E">
      <w:pPr>
        <w:ind w:left="720"/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 xml:space="preserve"> </w:t>
      </w:r>
    </w:p>
    <w:sectPr w:rsidR="000A4AE3" w:rsidRPr="000A4AE3">
      <w:footerReference w:type="default" r:id="rId7"/>
      <w:pgSz w:w="11906" w:h="16838"/>
      <w:pgMar w:top="650" w:right="700" w:bottom="650" w:left="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CF" w:rsidRDefault="00C56ECF" w:rsidP="006D2E7C">
      <w:r>
        <w:separator/>
      </w:r>
    </w:p>
  </w:endnote>
  <w:endnote w:type="continuationSeparator" w:id="0">
    <w:p w:rsidR="00C56ECF" w:rsidRDefault="00C56ECF" w:rsidP="006D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7C" w:rsidRPr="00185D8B" w:rsidRDefault="006D2E7C" w:rsidP="006D2E7C">
    <w:pPr>
      <w:jc w:val="center"/>
      <w:rPr>
        <w:b/>
        <w:bCs/>
      </w:rPr>
    </w:pPr>
    <w:r w:rsidRPr="00185D8B">
      <w:rPr>
        <w:b/>
        <w:bCs/>
        <w:color w:val="888888"/>
        <w:rtl/>
      </w:rPr>
      <w:t xml:space="preserve">מסמך זה הוכן על ידי </w:t>
    </w:r>
    <w:r w:rsidRPr="00185D8B">
      <w:rPr>
        <w:rFonts w:hint="cs"/>
        <w:b/>
        <w:bCs/>
        <w:color w:val="888888"/>
        <w:rtl/>
      </w:rPr>
      <w:t>אביעד יצחקי</w:t>
    </w:r>
    <w:r w:rsidRPr="00185D8B">
      <w:rPr>
        <w:b/>
        <w:bCs/>
        <w:color w:val="888888"/>
        <w:rtl/>
      </w:rPr>
      <w:t>,</w:t>
    </w:r>
    <w:r w:rsidRPr="00185D8B">
      <w:rPr>
        <w:rFonts w:hint="cs"/>
        <w:b/>
        <w:bCs/>
        <w:color w:val="888888"/>
        <w:rtl/>
      </w:rPr>
      <w:t xml:space="preserve"> מוביל</w:t>
    </w:r>
    <w:r w:rsidRPr="00185D8B">
      <w:rPr>
        <w:b/>
        <w:bCs/>
        <w:color w:val="888888"/>
        <w:rtl/>
      </w:rPr>
      <w:t xml:space="preserve"> פיתוח, שותפויות ו-AI   </w:t>
    </w:r>
    <w:r w:rsidRPr="00185D8B">
      <w:rPr>
        <w:rFonts w:hint="cs"/>
        <w:b/>
        <w:bCs/>
        <w:color w:val="888888"/>
        <w:rtl/>
      </w:rPr>
      <w:t xml:space="preserve">מרץ </w:t>
    </w:r>
    <w:r w:rsidRPr="00185D8B">
      <w:rPr>
        <w:b/>
        <w:bCs/>
        <w:color w:val="888888"/>
        <w:rtl/>
      </w:rPr>
      <w:t>2026</w:t>
    </w:r>
  </w:p>
  <w:p w:rsidR="006D2E7C" w:rsidRPr="006D2E7C" w:rsidRDefault="006D2E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CF" w:rsidRDefault="00C56ECF" w:rsidP="006D2E7C">
      <w:r>
        <w:separator/>
      </w:r>
    </w:p>
  </w:footnote>
  <w:footnote w:type="continuationSeparator" w:id="0">
    <w:p w:rsidR="00C56ECF" w:rsidRDefault="00C56ECF" w:rsidP="006D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BB5"/>
    <w:multiLevelType w:val="hybridMultilevel"/>
    <w:tmpl w:val="ED06B7EC"/>
    <w:lvl w:ilvl="0" w:tplc="587025E0">
      <w:start w:val="1"/>
      <w:numFmt w:val="bullet"/>
      <w:lvlText w:val="◾"/>
      <w:lvlJc w:val="right"/>
      <w:pPr>
        <w:bidi/>
        <w:ind w:right="360" w:hanging="360"/>
      </w:pPr>
    </w:lvl>
    <w:lvl w:ilvl="1" w:tplc="47F4BD26">
      <w:numFmt w:val="decimal"/>
      <w:lvlText w:val=""/>
      <w:lvlJc w:val="left"/>
    </w:lvl>
    <w:lvl w:ilvl="2" w:tplc="FF585F42">
      <w:numFmt w:val="decimal"/>
      <w:lvlText w:val=""/>
      <w:lvlJc w:val="left"/>
    </w:lvl>
    <w:lvl w:ilvl="3" w:tplc="D6EE121A">
      <w:numFmt w:val="decimal"/>
      <w:lvlText w:val=""/>
      <w:lvlJc w:val="left"/>
    </w:lvl>
    <w:lvl w:ilvl="4" w:tplc="CD50007C">
      <w:numFmt w:val="decimal"/>
      <w:lvlText w:val=""/>
      <w:lvlJc w:val="left"/>
    </w:lvl>
    <w:lvl w:ilvl="5" w:tplc="E9D096EC">
      <w:numFmt w:val="decimal"/>
      <w:lvlText w:val=""/>
      <w:lvlJc w:val="left"/>
    </w:lvl>
    <w:lvl w:ilvl="6" w:tplc="8B826DF6">
      <w:numFmt w:val="decimal"/>
      <w:lvlText w:val=""/>
      <w:lvlJc w:val="left"/>
    </w:lvl>
    <w:lvl w:ilvl="7" w:tplc="FEF48036">
      <w:numFmt w:val="decimal"/>
      <w:lvlText w:val=""/>
      <w:lvlJc w:val="left"/>
    </w:lvl>
    <w:lvl w:ilvl="8" w:tplc="2A4CEAA0">
      <w:numFmt w:val="decimal"/>
      <w:lvlText w:val=""/>
      <w:lvlJc w:val="left"/>
    </w:lvl>
  </w:abstractNum>
  <w:abstractNum w:abstractNumId="1" w15:restartNumberingAfterBreak="0">
    <w:nsid w:val="5CFB4BB0"/>
    <w:multiLevelType w:val="hybridMultilevel"/>
    <w:tmpl w:val="E1A06778"/>
    <w:lvl w:ilvl="0" w:tplc="F46C8EE4">
      <w:start w:val="1"/>
      <w:numFmt w:val="decimal"/>
      <w:lvlText w:val="%1."/>
      <w:lvlJc w:val="right"/>
      <w:pPr>
        <w:bidi/>
        <w:ind w:right="400" w:hanging="400"/>
      </w:pPr>
    </w:lvl>
    <w:lvl w:ilvl="1" w:tplc="295621F0">
      <w:numFmt w:val="decimal"/>
      <w:lvlText w:val=""/>
      <w:lvlJc w:val="left"/>
    </w:lvl>
    <w:lvl w:ilvl="2" w:tplc="5F406FF0">
      <w:numFmt w:val="decimal"/>
      <w:lvlText w:val=""/>
      <w:lvlJc w:val="left"/>
    </w:lvl>
    <w:lvl w:ilvl="3" w:tplc="D6F8AB42">
      <w:numFmt w:val="decimal"/>
      <w:lvlText w:val=""/>
      <w:lvlJc w:val="left"/>
    </w:lvl>
    <w:lvl w:ilvl="4" w:tplc="87707582">
      <w:numFmt w:val="decimal"/>
      <w:lvlText w:val=""/>
      <w:lvlJc w:val="left"/>
    </w:lvl>
    <w:lvl w:ilvl="5" w:tplc="A212F864">
      <w:numFmt w:val="decimal"/>
      <w:lvlText w:val=""/>
      <w:lvlJc w:val="left"/>
    </w:lvl>
    <w:lvl w:ilvl="6" w:tplc="A9C2F9F2">
      <w:numFmt w:val="decimal"/>
      <w:lvlText w:val=""/>
      <w:lvlJc w:val="left"/>
    </w:lvl>
    <w:lvl w:ilvl="7" w:tplc="79203BE8">
      <w:numFmt w:val="decimal"/>
      <w:lvlText w:val=""/>
      <w:lvlJc w:val="left"/>
    </w:lvl>
    <w:lvl w:ilvl="8" w:tplc="9292940A">
      <w:numFmt w:val="decimal"/>
      <w:lvlText w:val=""/>
      <w:lvlJc w:val="left"/>
    </w:lvl>
  </w:abstractNum>
  <w:abstractNum w:abstractNumId="2" w15:restartNumberingAfterBreak="0">
    <w:nsid w:val="79242FDF"/>
    <w:multiLevelType w:val="hybridMultilevel"/>
    <w:tmpl w:val="A18E4F8C"/>
    <w:lvl w:ilvl="0" w:tplc="FE103954">
      <w:start w:val="1"/>
      <w:numFmt w:val="bullet"/>
      <w:lvlText w:val="●"/>
      <w:lvlJc w:val="left"/>
      <w:pPr>
        <w:ind w:left="720" w:hanging="360"/>
      </w:pPr>
    </w:lvl>
    <w:lvl w:ilvl="1" w:tplc="D5B29EB4">
      <w:start w:val="1"/>
      <w:numFmt w:val="bullet"/>
      <w:lvlText w:val="○"/>
      <w:lvlJc w:val="left"/>
      <w:pPr>
        <w:ind w:left="1440" w:hanging="360"/>
      </w:pPr>
    </w:lvl>
    <w:lvl w:ilvl="2" w:tplc="DAF472BE">
      <w:start w:val="1"/>
      <w:numFmt w:val="bullet"/>
      <w:lvlText w:val="■"/>
      <w:lvlJc w:val="left"/>
      <w:pPr>
        <w:ind w:left="2160" w:hanging="360"/>
      </w:pPr>
    </w:lvl>
    <w:lvl w:ilvl="3" w:tplc="6936D5FA">
      <w:start w:val="1"/>
      <w:numFmt w:val="bullet"/>
      <w:lvlText w:val="●"/>
      <w:lvlJc w:val="left"/>
      <w:pPr>
        <w:ind w:left="2880" w:hanging="360"/>
      </w:pPr>
    </w:lvl>
    <w:lvl w:ilvl="4" w:tplc="907C6A2E">
      <w:start w:val="1"/>
      <w:numFmt w:val="bullet"/>
      <w:lvlText w:val="○"/>
      <w:lvlJc w:val="left"/>
      <w:pPr>
        <w:ind w:left="3600" w:hanging="360"/>
      </w:pPr>
    </w:lvl>
    <w:lvl w:ilvl="5" w:tplc="FCD289BE">
      <w:start w:val="1"/>
      <w:numFmt w:val="bullet"/>
      <w:lvlText w:val="■"/>
      <w:lvlJc w:val="left"/>
      <w:pPr>
        <w:ind w:left="4320" w:hanging="360"/>
      </w:pPr>
    </w:lvl>
    <w:lvl w:ilvl="6" w:tplc="E312E0BC">
      <w:start w:val="1"/>
      <w:numFmt w:val="bullet"/>
      <w:lvlText w:val="●"/>
      <w:lvlJc w:val="left"/>
      <w:pPr>
        <w:ind w:left="5040" w:hanging="360"/>
      </w:pPr>
    </w:lvl>
    <w:lvl w:ilvl="7" w:tplc="5044AC88">
      <w:start w:val="1"/>
      <w:numFmt w:val="bullet"/>
      <w:lvlText w:val="●"/>
      <w:lvlJc w:val="left"/>
      <w:pPr>
        <w:ind w:left="5760" w:hanging="360"/>
      </w:pPr>
    </w:lvl>
    <w:lvl w:ilvl="8" w:tplc="8AD6CA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A3"/>
    <w:rsid w:val="00036289"/>
    <w:rsid w:val="000A4AE3"/>
    <w:rsid w:val="0045290E"/>
    <w:rsid w:val="00510032"/>
    <w:rsid w:val="006D2E7C"/>
    <w:rsid w:val="00797F2B"/>
    <w:rsid w:val="00827DA3"/>
    <w:rsid w:val="00A51F4A"/>
    <w:rsid w:val="00C56ECF"/>
    <w:rsid w:val="00E5674B"/>
    <w:rsid w:val="00E6721F"/>
    <w:rsid w:val="00FE08B2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1DB6"/>
  <w15:docId w15:val="{C43245D6-1010-4431-A046-307C42CB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sz w:val="18"/>
        <w:szCs w:val="18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674B"/>
    <w:rPr>
      <w:rFonts w:ascii="Tahoma" w:hAnsi="Tahoma" w:cs="Tahoma"/>
    </w:rPr>
  </w:style>
  <w:style w:type="character" w:customStyle="1" w:styleId="a9">
    <w:name w:val="טקסט בלונים תו"/>
    <w:basedOn w:val="a0"/>
    <w:link w:val="a8"/>
    <w:uiPriority w:val="99"/>
    <w:semiHidden/>
    <w:rsid w:val="00E5674B"/>
    <w:rPr>
      <w:rFonts w:ascii="Tahoma" w:hAnsi="Tahoma" w:cs="Tahoma"/>
    </w:rPr>
  </w:style>
  <w:style w:type="paragraph" w:styleId="aa">
    <w:name w:val="header"/>
    <w:basedOn w:val="a"/>
    <w:link w:val="ab"/>
    <w:uiPriority w:val="99"/>
    <w:unhideWhenUsed/>
    <w:rsid w:val="006D2E7C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rsid w:val="006D2E7C"/>
  </w:style>
  <w:style w:type="paragraph" w:styleId="ac">
    <w:name w:val="footer"/>
    <w:basedOn w:val="a"/>
    <w:link w:val="ad"/>
    <w:uiPriority w:val="99"/>
    <w:unhideWhenUsed/>
    <w:rsid w:val="006D2E7C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6D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דנה ויינר חביב</cp:lastModifiedBy>
  <cp:revision>5</cp:revision>
  <cp:lastPrinted>2026-03-22T14:57:00Z</cp:lastPrinted>
  <dcterms:created xsi:type="dcterms:W3CDTF">2026-03-22T09:49:00Z</dcterms:created>
  <dcterms:modified xsi:type="dcterms:W3CDTF">2026-03-22T14:57:00Z</dcterms:modified>
</cp:coreProperties>
</file>